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83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851"/>
        <w:gridCol w:w="5663"/>
        <w:gridCol w:w="971"/>
        <w:gridCol w:w="7498"/>
      </w:tblGrid>
      <w:tr w:rsidR="007A493A" w:rsidRPr="007A493A" w:rsidTr="007A493A">
        <w:trPr>
          <w:trHeight w:val="570"/>
        </w:trPr>
        <w:tc>
          <w:tcPr>
            <w:tcW w:w="14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93A" w:rsidRPr="007A493A" w:rsidRDefault="007A493A" w:rsidP="007A493A">
            <w:pPr>
              <w:jc w:val="center"/>
              <w:rPr>
                <w:b/>
                <w:sz w:val="28"/>
                <w:szCs w:val="28"/>
              </w:rPr>
            </w:pPr>
            <w:r w:rsidRPr="007A493A">
              <w:rPr>
                <w:b/>
                <w:sz w:val="28"/>
                <w:szCs w:val="28"/>
              </w:rPr>
              <w:t>BAC PRO GESTION ADMINISTRATION</w:t>
            </w:r>
          </w:p>
          <w:p w:rsidR="007A493A" w:rsidRPr="007A493A" w:rsidRDefault="007A493A" w:rsidP="007A493A">
            <w:pPr>
              <w:jc w:val="center"/>
              <w:rPr>
                <w:b/>
                <w:sz w:val="28"/>
                <w:szCs w:val="28"/>
              </w:rPr>
            </w:pPr>
            <w:r w:rsidRPr="007A493A">
              <w:rPr>
                <w:b/>
                <w:sz w:val="28"/>
                <w:szCs w:val="28"/>
              </w:rPr>
              <w:t>ATELIERS RÉDACTIONNELS</w:t>
            </w:r>
          </w:p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sz w:val="36"/>
                <w:szCs w:val="36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sz w:val="36"/>
                <w:szCs w:val="36"/>
                <w:lang w:eastAsia="fr-FR"/>
              </w:rPr>
              <w:t xml:space="preserve">Savoirs rédactionnels traités sur les trois ans </w:t>
            </w:r>
          </w:p>
        </w:tc>
      </w:tr>
      <w:tr w:rsidR="007A493A" w:rsidRPr="007A493A" w:rsidTr="007A493A">
        <w:trPr>
          <w:trHeight w:val="420"/>
        </w:trPr>
        <w:tc>
          <w:tcPr>
            <w:tcW w:w="149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sz w:val="32"/>
                <w:szCs w:val="32"/>
                <w:lang w:eastAsia="fr-FR"/>
              </w:rPr>
              <w:t>2</w:t>
            </w:r>
            <w:r w:rsidRPr="007A493A">
              <w:rPr>
                <w:rFonts w:ascii="Calibri" w:eastAsia="Times New Roman" w:hAnsi="Calibri" w:cs="Times New Roman"/>
                <w:sz w:val="32"/>
                <w:szCs w:val="32"/>
                <w:vertAlign w:val="superscript"/>
                <w:lang w:eastAsia="fr-FR"/>
              </w:rPr>
              <w:t>ème</w:t>
            </w:r>
            <w:r w:rsidRPr="007A493A">
              <w:rPr>
                <w:rFonts w:ascii="Calibri" w:eastAsia="Times New Roman" w:hAnsi="Calibri" w:cs="Times New Roman"/>
                <w:sz w:val="32"/>
                <w:szCs w:val="32"/>
                <w:lang w:eastAsia="fr-FR"/>
              </w:rPr>
              <w:t xml:space="preserve">  Promo - GA1 2013-2016</w:t>
            </w:r>
          </w:p>
        </w:tc>
      </w:tr>
      <w:tr w:rsidR="007A493A" w:rsidRPr="007A493A" w:rsidTr="007A493A">
        <w:trPr>
          <w:trHeight w:val="375"/>
        </w:trPr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 xml:space="preserve">En classe de Seconde </w:t>
            </w:r>
          </w:p>
        </w:tc>
        <w:tc>
          <w:tcPr>
            <w:tcW w:w="8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En classe de Première</w:t>
            </w: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1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1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2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2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3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3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4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4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5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5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6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6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  <w:bookmarkStart w:id="0" w:name="_GoBack"/>
            <w:bookmarkEnd w:id="0"/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75"/>
        </w:trPr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En classe de Terminale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sz w:val="28"/>
                <w:szCs w:val="28"/>
                <w:lang w:eastAsia="fr-FR"/>
              </w:rPr>
              <w:t>OBSERVATIONS</w:t>
            </w: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1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2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3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4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5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  <w:t>Ar 6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  <w:r w:rsidRPr="007A493A">
              <w:rPr>
                <w:rFonts w:ascii="Calibri" w:eastAsia="Times New Roman" w:hAnsi="Calibri" w:cs="Times New Roman"/>
                <w:lang w:eastAsia="fr-FR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7A493A" w:rsidRPr="007A493A" w:rsidTr="007A493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3A" w:rsidRPr="007A493A" w:rsidRDefault="007A493A" w:rsidP="007A493A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7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93A" w:rsidRPr="007A493A" w:rsidRDefault="007A493A" w:rsidP="007A493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</w:tbl>
    <w:p w:rsidR="007A493A" w:rsidRDefault="007A493A" w:rsidP="00CB2185">
      <w:pPr>
        <w:jc w:val="center"/>
        <w:rPr>
          <w:b/>
          <w:sz w:val="26"/>
          <w:szCs w:val="26"/>
        </w:rPr>
        <w:sectPr w:rsidR="007A493A" w:rsidSect="007A493A">
          <w:pgSz w:w="16838" w:h="11906" w:orient="landscape"/>
          <w:pgMar w:top="567" w:right="284" w:bottom="426" w:left="709" w:header="708" w:footer="708" w:gutter="0"/>
          <w:cols w:space="708"/>
          <w:docGrid w:linePitch="360"/>
        </w:sectPr>
      </w:pPr>
    </w:p>
    <w:p w:rsidR="00C92553" w:rsidRPr="00B167F7" w:rsidRDefault="00CB2185" w:rsidP="00CB2185">
      <w:pPr>
        <w:jc w:val="center"/>
        <w:rPr>
          <w:b/>
          <w:sz w:val="26"/>
          <w:szCs w:val="26"/>
        </w:rPr>
      </w:pPr>
      <w:r w:rsidRPr="00B167F7">
        <w:rPr>
          <w:b/>
          <w:sz w:val="26"/>
          <w:szCs w:val="26"/>
        </w:rPr>
        <w:lastRenderedPageBreak/>
        <w:t>BAC PRO GESTION ADMINISTRATION</w:t>
      </w:r>
    </w:p>
    <w:p w:rsidR="00CB2185" w:rsidRPr="00B167F7" w:rsidRDefault="00CB2185" w:rsidP="00CB2185">
      <w:pPr>
        <w:jc w:val="center"/>
        <w:rPr>
          <w:b/>
          <w:sz w:val="26"/>
          <w:szCs w:val="26"/>
        </w:rPr>
      </w:pPr>
      <w:r w:rsidRPr="00B167F7">
        <w:rPr>
          <w:b/>
          <w:sz w:val="26"/>
          <w:szCs w:val="26"/>
        </w:rPr>
        <w:t>ATELIERS RÉDACTIONNELS</w:t>
      </w:r>
    </w:p>
    <w:p w:rsidR="00B167F7" w:rsidRPr="00B167F7" w:rsidRDefault="00DA0FB1" w:rsidP="00B167F7">
      <w:pPr>
        <w:spacing w:after="1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PROMO</w:t>
      </w:r>
      <w:r w:rsidR="00B167F7" w:rsidRPr="00B167F7">
        <w:rPr>
          <w:b/>
          <w:sz w:val="24"/>
          <w:szCs w:val="24"/>
        </w:rPr>
        <w:t xml:space="preserve">2 </w:t>
      </w:r>
      <w:r w:rsidR="00B167F7">
        <w:rPr>
          <w:b/>
          <w:sz w:val="24"/>
          <w:szCs w:val="24"/>
        </w:rPr>
        <w:t xml:space="preserve">  </w:t>
      </w:r>
      <w:r w:rsidR="00B167F7" w:rsidRPr="00B167F7">
        <w:rPr>
          <w:b/>
          <w:sz w:val="24"/>
          <w:szCs w:val="24"/>
        </w:rPr>
        <w:t>2013-2016</w:t>
      </w:r>
    </w:p>
    <w:tbl>
      <w:tblPr>
        <w:tblStyle w:val="Grilledutableau"/>
        <w:tblW w:w="10774" w:type="dxa"/>
        <w:tblInd w:w="-318" w:type="dxa"/>
        <w:tblLook w:val="04A0"/>
      </w:tblPr>
      <w:tblGrid>
        <w:gridCol w:w="2670"/>
        <w:gridCol w:w="5269"/>
        <w:gridCol w:w="992"/>
        <w:gridCol w:w="993"/>
        <w:gridCol w:w="850"/>
      </w:tblGrid>
      <w:tr w:rsidR="00CB2185" w:rsidRPr="00CB2185" w:rsidTr="00DA0FB1">
        <w:tc>
          <w:tcPr>
            <w:tcW w:w="2670" w:type="dxa"/>
            <w:vAlign w:val="center"/>
          </w:tcPr>
          <w:p w:rsidR="00CB2185" w:rsidRPr="00CB2185" w:rsidRDefault="00CB2185" w:rsidP="00CB2185">
            <w:pPr>
              <w:jc w:val="center"/>
              <w:rPr>
                <w:b/>
              </w:rPr>
            </w:pPr>
            <w:r w:rsidRPr="00CB2185">
              <w:rPr>
                <w:b/>
              </w:rPr>
              <w:t>SAVOIRS RÉDACTIONNELS</w:t>
            </w:r>
          </w:p>
        </w:tc>
        <w:tc>
          <w:tcPr>
            <w:tcW w:w="5269" w:type="dxa"/>
            <w:vAlign w:val="center"/>
          </w:tcPr>
          <w:p w:rsidR="00CB2185" w:rsidRPr="00CB2185" w:rsidRDefault="00CB2185" w:rsidP="00CB2185">
            <w:pPr>
              <w:jc w:val="center"/>
              <w:rPr>
                <w:b/>
              </w:rPr>
            </w:pPr>
            <w:r w:rsidRPr="00CB2185">
              <w:rPr>
                <w:b/>
              </w:rPr>
              <w:t>PROCÉDÉS D’ÉCRITURE</w:t>
            </w:r>
          </w:p>
        </w:tc>
        <w:tc>
          <w:tcPr>
            <w:tcW w:w="992" w:type="dxa"/>
            <w:vAlign w:val="center"/>
          </w:tcPr>
          <w:p w:rsidR="00CB2185" w:rsidRPr="00CB2185" w:rsidRDefault="00CB2185" w:rsidP="00CB2185">
            <w:pPr>
              <w:jc w:val="center"/>
              <w:rPr>
                <w:b/>
                <w:sz w:val="24"/>
                <w:szCs w:val="24"/>
              </w:rPr>
            </w:pPr>
            <w:r w:rsidRPr="00CB2185">
              <w:rPr>
                <w:b/>
                <w:sz w:val="24"/>
                <w:szCs w:val="24"/>
              </w:rPr>
              <w:t>2</w:t>
            </w:r>
            <w:r w:rsidRPr="00CB2185">
              <w:rPr>
                <w:b/>
                <w:sz w:val="24"/>
                <w:szCs w:val="24"/>
                <w:vertAlign w:val="superscript"/>
              </w:rPr>
              <w:t>nde</w:t>
            </w:r>
          </w:p>
        </w:tc>
        <w:tc>
          <w:tcPr>
            <w:tcW w:w="993" w:type="dxa"/>
            <w:vAlign w:val="center"/>
          </w:tcPr>
          <w:p w:rsidR="00CB2185" w:rsidRPr="00CB2185" w:rsidRDefault="00CB2185" w:rsidP="00CB2185">
            <w:pPr>
              <w:jc w:val="center"/>
              <w:rPr>
                <w:b/>
                <w:sz w:val="24"/>
                <w:szCs w:val="24"/>
              </w:rPr>
            </w:pPr>
            <w:r w:rsidRPr="00CB2185">
              <w:rPr>
                <w:b/>
                <w:sz w:val="24"/>
                <w:szCs w:val="24"/>
              </w:rPr>
              <w:t>1</w:t>
            </w:r>
            <w:r w:rsidRPr="00CB2185">
              <w:rPr>
                <w:b/>
                <w:sz w:val="24"/>
                <w:szCs w:val="24"/>
                <w:vertAlign w:val="superscript"/>
              </w:rPr>
              <w:t>ère</w:t>
            </w:r>
          </w:p>
        </w:tc>
        <w:tc>
          <w:tcPr>
            <w:tcW w:w="850" w:type="dxa"/>
            <w:vAlign w:val="center"/>
          </w:tcPr>
          <w:p w:rsidR="00CB2185" w:rsidRPr="00CB2185" w:rsidRDefault="00CB2185" w:rsidP="00CB21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B2185">
              <w:rPr>
                <w:b/>
                <w:sz w:val="24"/>
                <w:szCs w:val="24"/>
              </w:rPr>
              <w:t>Term</w:t>
            </w:r>
            <w:proofErr w:type="spellEnd"/>
          </w:p>
        </w:tc>
      </w:tr>
      <w:tr w:rsidR="00CB2185" w:rsidTr="00B167F7">
        <w:tc>
          <w:tcPr>
            <w:tcW w:w="10774" w:type="dxa"/>
            <w:gridSpan w:val="5"/>
            <w:shd w:val="clear" w:color="auto" w:fill="D9D9D9" w:themeFill="background1" w:themeFillShade="D9"/>
            <w:vAlign w:val="center"/>
          </w:tcPr>
          <w:p w:rsidR="00CB2185" w:rsidRDefault="00CB2185" w:rsidP="00B167F7">
            <w:r w:rsidRPr="00CB2185">
              <w:t>PÔLE 1 – GESTION ADMINISTRATIVE DES RELATIONS EXTERNES</w:t>
            </w:r>
          </w:p>
        </w:tc>
      </w:tr>
      <w:tr w:rsidR="00DA0FB1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i/>
                <w:sz w:val="22"/>
                <w:szCs w:val="22"/>
              </w:rPr>
            </w:pPr>
            <w:r w:rsidRPr="00EF4E68">
              <w:rPr>
                <w:rFonts w:ascii="Calibri" w:hAnsi="Calibri"/>
                <w:i/>
                <w:sz w:val="22"/>
                <w:szCs w:val="22"/>
              </w:rPr>
              <w:t>LE COURRIER DE RÉCLAMATION À UN FOURNISSEUR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L’interpellation du fournisseur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présentation de l’objet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 xml:space="preserve">• L’enchaînement des faits 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L’argumentation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réfutation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 lexique du constat, de la demande, du désaccord, de la preuve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Les temps et modes des verbes : le passé composé, le futur de l'indicatif, le conditionnel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tournure impersonnelle et passive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DA0FB1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pStyle w:val="Standard"/>
              <w:rPr>
                <w:rFonts w:ascii="Calibri" w:hAnsi="Calibri"/>
                <w:i/>
                <w:sz w:val="22"/>
                <w:szCs w:val="22"/>
              </w:rPr>
            </w:pPr>
            <w:r w:rsidRPr="00EF4E68">
              <w:rPr>
                <w:rFonts w:ascii="Calibri" w:hAnsi="Calibri"/>
                <w:i/>
                <w:sz w:val="22"/>
                <w:szCs w:val="22"/>
              </w:rPr>
              <w:t>LE COURRIER DE RELANCE CLIENT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L’interpellation du client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présentation du litige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 xml:space="preserve">• L’enchaînement des faits 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De l’incitation à l’injonction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citation d'une référence juridique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 lexique du souhait, de la demande, de la preuve, de la conciliation</w:t>
            </w:r>
          </w:p>
          <w:p w:rsidR="00CB2185" w:rsidRPr="00EF4E68" w:rsidRDefault="00CB2185" w:rsidP="00B957C2">
            <w:pPr>
              <w:ind w:left="72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Les temps et modes des verbes : impératif, conditionnel, futur de l’indicatif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DA0FB1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i/>
                <w:sz w:val="22"/>
                <w:szCs w:val="22"/>
              </w:rPr>
            </w:pPr>
            <w:r w:rsidRPr="00EF4E68">
              <w:rPr>
                <w:rFonts w:ascii="Calibri" w:hAnsi="Calibri"/>
                <w:i/>
                <w:sz w:val="22"/>
                <w:szCs w:val="22"/>
              </w:rPr>
              <w:t>LE COURRIER DE SOLLICITATION AUPRÈS D’UNE ADMINISTRATION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 positionnement et la situation de l’émetteur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description et la justification de la requête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Les codes et règles du courrier aux administrations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 lexique du souhait, de la demande, de l’autorisation</w:t>
            </w:r>
          </w:p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Les modes et temps des verbes : conditionnel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B167F7">
        <w:tc>
          <w:tcPr>
            <w:tcW w:w="10774" w:type="dxa"/>
            <w:gridSpan w:val="5"/>
            <w:shd w:val="clear" w:color="auto" w:fill="D9D9D9" w:themeFill="background1" w:themeFillShade="D9"/>
            <w:vAlign w:val="center"/>
          </w:tcPr>
          <w:p w:rsidR="00CB2185" w:rsidRDefault="00CB2185" w:rsidP="00B167F7">
            <w:r w:rsidRPr="00CB2185">
              <w:t>PÔLE 2 – GESTION ADMINISTRATIVE DES RELATIONS AVEC LE PERSONNEL</w:t>
            </w:r>
          </w:p>
        </w:tc>
      </w:tr>
      <w:tr w:rsidR="00DA0FB1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autoSpaceDE w:val="0"/>
              <w:autoSpaceDN w:val="0"/>
              <w:adjustRightInd w:val="0"/>
              <w:rPr>
                <w:b/>
              </w:rPr>
            </w:pPr>
            <w:r w:rsidRPr="00EF4E68">
              <w:rPr>
                <w:b/>
              </w:rPr>
              <w:t>LE COURRIER DESTINÉ AU PERSONNEL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présentation de l’objet</w:t>
            </w:r>
          </w:p>
          <w:p w:rsidR="00CB2185" w:rsidRPr="00EF4E68" w:rsidRDefault="00CB2185" w:rsidP="00B957C2">
            <w:pPr>
              <w:widowControl w:val="0"/>
              <w:ind w:left="72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La précision et la concision de l’information</w:t>
            </w:r>
          </w:p>
          <w:p w:rsidR="00CB2185" w:rsidRPr="00EF4E68" w:rsidRDefault="00CB2185" w:rsidP="00B957C2">
            <w:pPr>
              <w:widowControl w:val="0"/>
              <w:ind w:left="72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 xml:space="preserve">• La justification règlementaire </w:t>
            </w:r>
          </w:p>
          <w:p w:rsidR="00CB2185" w:rsidRPr="00EF4E68" w:rsidRDefault="00CB2185" w:rsidP="00B957C2">
            <w:pPr>
              <w:widowControl w:val="0"/>
              <w:ind w:left="72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 xml:space="preserve">• Les phrases déclaratives </w:t>
            </w:r>
          </w:p>
          <w:p w:rsidR="00CB2185" w:rsidRPr="00EF4E68" w:rsidRDefault="00CB2185" w:rsidP="00B957C2">
            <w:pPr>
              <w:widowControl w:val="0"/>
              <w:ind w:left="72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La tournure impersonnelle</w:t>
            </w:r>
          </w:p>
          <w:p w:rsidR="00CB2185" w:rsidRPr="00EF4E68" w:rsidRDefault="00CB2185" w:rsidP="00B957C2">
            <w:pPr>
              <w:widowControl w:val="0"/>
              <w:ind w:left="72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 lexique de l’information</w:t>
            </w:r>
          </w:p>
          <w:p w:rsidR="00CB2185" w:rsidRPr="00EF4E68" w:rsidRDefault="00CB2185" w:rsidP="00B957C2">
            <w:pPr>
              <w:ind w:left="72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Les temps et modes des verbes : le présent de l’indicatif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DA0FB1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widowControl w:val="0"/>
              <w:rPr>
                <w:b/>
              </w:rPr>
            </w:pPr>
            <w:r w:rsidRPr="00EF4E68">
              <w:rPr>
                <w:b/>
              </w:rPr>
              <w:t xml:space="preserve">L’ANNONCE 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Standard"/>
              <w:widowControl w:val="0"/>
              <w:ind w:left="72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L’organisation de l’annonce : énumération, nominalisation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Les abréviations usuelles en matière d’annonce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La construction syntaxique spécifique, la phrase simple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widowControl w:val="0"/>
              <w:rPr>
                <w:b/>
              </w:rPr>
            </w:pPr>
            <w:r w:rsidRPr="00EF4E68">
              <w:rPr>
                <w:b/>
              </w:rPr>
              <w:t>LES DOCUMENTS D’ACCUEIL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La structuration du document : titres, inter titres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La mise en page du document : textes, images, schémas, cartes, plans, énumération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Les temps et modes des verbes : infinitif, présent de l'indicatif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La formulation de consignes et conseils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 lexique du métier de l'organisation</w:t>
            </w:r>
          </w:p>
          <w:p w:rsidR="00CB2185" w:rsidRPr="00EF4E68" w:rsidRDefault="00CB2185" w:rsidP="00B957C2">
            <w:pPr>
              <w:ind w:left="7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widowControl w:val="0"/>
              <w:rPr>
                <w:b/>
              </w:rPr>
            </w:pPr>
            <w:r w:rsidRPr="00EF4E68">
              <w:rPr>
                <w:b/>
              </w:rPr>
              <w:t>LES CONSIGNES DE SANTÉ ET DE SÉCURITÉ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L’injonction, la prescription, la recommandation et les locutions associées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Les renvois légaux et réglementaires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 lexique propre à la santé et à la sécurité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La disposition du texte : énumération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 temps des verbes : impératif et infinitif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widowControl w:val="0"/>
              <w:ind w:left="34"/>
              <w:rPr>
                <w:b/>
              </w:rPr>
            </w:pPr>
            <w:r w:rsidRPr="00EF4E68">
              <w:rPr>
                <w:b/>
              </w:rPr>
              <w:t xml:space="preserve">LE DISCOURS 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kern w:val="16"/>
                <w:sz w:val="20"/>
                <w:szCs w:val="20"/>
                <w:lang w:eastAsia="zh-CN"/>
              </w:rPr>
            </w:pPr>
            <w:r w:rsidRPr="00EF4E68">
              <w:rPr>
                <w:kern w:val="16"/>
                <w:sz w:val="20"/>
                <w:szCs w:val="20"/>
                <w:lang w:eastAsia="zh-CN"/>
              </w:rPr>
              <w:t>• Les modalités d’interpellation du destinataire (apostrophe, métaphore)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kern w:val="16"/>
                <w:sz w:val="20"/>
                <w:szCs w:val="20"/>
                <w:lang w:eastAsia="zh-CN"/>
              </w:rPr>
            </w:pPr>
            <w:r w:rsidRPr="00EF4E68">
              <w:rPr>
                <w:kern w:val="16"/>
                <w:sz w:val="20"/>
                <w:szCs w:val="20"/>
                <w:lang w:eastAsia="zh-CN"/>
              </w:rPr>
              <w:t>• Les effets d’oralité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kern w:val="16"/>
                <w:sz w:val="20"/>
                <w:szCs w:val="20"/>
                <w:lang w:eastAsia="zh-CN"/>
              </w:rPr>
            </w:pPr>
            <w:r w:rsidRPr="00EF4E68">
              <w:rPr>
                <w:kern w:val="16"/>
                <w:sz w:val="20"/>
                <w:szCs w:val="20"/>
                <w:lang w:eastAsia="zh-CN"/>
              </w:rPr>
              <w:t>• Le lexique de l’engagement, de la cohésion du groupe, l'approbation, le compliment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kern w:val="16"/>
                <w:sz w:val="20"/>
                <w:szCs w:val="20"/>
                <w:lang w:eastAsia="zh-CN"/>
              </w:rPr>
            </w:pPr>
            <w:r w:rsidRPr="00EF4E68">
              <w:rPr>
                <w:kern w:val="16"/>
                <w:sz w:val="20"/>
                <w:szCs w:val="20"/>
                <w:lang w:eastAsia="zh-CN"/>
              </w:rPr>
              <w:t>• L’éloge </w:t>
            </w:r>
          </w:p>
          <w:p w:rsidR="00CB2185" w:rsidRPr="00EF4E68" w:rsidRDefault="00CB2185" w:rsidP="00B957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kern w:val="16"/>
                <w:sz w:val="20"/>
                <w:szCs w:val="20"/>
                <w:lang w:eastAsia="zh-CN"/>
              </w:rPr>
            </w:pPr>
            <w:r w:rsidRPr="00EF4E68">
              <w:rPr>
                <w:kern w:val="16"/>
                <w:sz w:val="20"/>
                <w:szCs w:val="20"/>
                <w:lang w:eastAsia="zh-CN"/>
              </w:rPr>
              <w:t>• L’introduction d’éléments de récit de vie</w:t>
            </w:r>
          </w:p>
          <w:p w:rsidR="00CB2185" w:rsidRPr="00EF4E68" w:rsidRDefault="00CB2185" w:rsidP="00B957C2">
            <w:pPr>
              <w:rPr>
                <w:kern w:val="16"/>
                <w:sz w:val="20"/>
                <w:szCs w:val="20"/>
                <w:lang w:eastAsia="zh-CN"/>
              </w:rPr>
            </w:pPr>
            <w:r w:rsidRPr="00EF4E68">
              <w:rPr>
                <w:kern w:val="16"/>
                <w:sz w:val="20"/>
                <w:szCs w:val="20"/>
                <w:lang w:eastAsia="zh-CN"/>
              </w:rPr>
              <w:t>• Le temps des verbes : l’imparfait, le présent de narration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B167F7">
        <w:tc>
          <w:tcPr>
            <w:tcW w:w="10774" w:type="dxa"/>
            <w:gridSpan w:val="5"/>
            <w:shd w:val="clear" w:color="auto" w:fill="D9D9D9" w:themeFill="background1" w:themeFillShade="D9"/>
            <w:vAlign w:val="center"/>
          </w:tcPr>
          <w:p w:rsidR="00CB2185" w:rsidRDefault="00CB2185" w:rsidP="00B167F7">
            <w:r w:rsidRPr="00CB2185">
              <w:t>PÔLE 3 – GESTION ADMINISTRATIVE INTERNE</w:t>
            </w:r>
          </w:p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ind w:left="34"/>
              <w:rPr>
                <w:b/>
              </w:rPr>
            </w:pPr>
            <w:r w:rsidRPr="00EF4E68">
              <w:rPr>
                <w:b/>
              </w:rPr>
              <w:t xml:space="preserve">LA FICHE DE SYNTHÈSE 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concision, la reformulation, la précision lexicale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Les mots clés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lecture rapide, la hiérarchie des informations</w:t>
            </w:r>
          </w:p>
          <w:p w:rsidR="00CB2185" w:rsidRPr="00EF4E68" w:rsidRDefault="00CB2185" w:rsidP="00B957C2">
            <w:pPr>
              <w:rPr>
                <w:sz w:val="20"/>
                <w:szCs w:val="20"/>
              </w:rPr>
            </w:pPr>
            <w:r w:rsidRPr="00EF4E68">
              <w:rPr>
                <w:rFonts w:cs="Arial"/>
                <w:sz w:val="20"/>
                <w:szCs w:val="20"/>
              </w:rPr>
              <w:t>• La vérification et la citation des sources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ind w:left="34"/>
              <w:rPr>
                <w:b/>
              </w:rPr>
            </w:pPr>
            <w:r w:rsidRPr="00EF4E68">
              <w:rPr>
                <w:b/>
              </w:rPr>
              <w:t>LE DOCUMENT PROFESSIONNEL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reformulation à partir d’une prise de notes, d’un brouillon, ou d'écrits intermédiaires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L’organisation et la hiérarchisation des informations</w:t>
            </w:r>
          </w:p>
          <w:p w:rsidR="00CB2185" w:rsidRPr="00EF4E68" w:rsidRDefault="00CB2185" w:rsidP="00B957C2">
            <w:pPr>
              <w:pStyle w:val="NormalWeb"/>
              <w:spacing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Les renvois et les notes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conformité du document à une charte graphique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typographie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 xml:space="preserve">• L’écriture des nombres 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L’insertion des nombres dans un texte</w:t>
            </w:r>
          </w:p>
          <w:p w:rsidR="00CB2185" w:rsidRPr="00EF4E68" w:rsidRDefault="00CB2185" w:rsidP="00B957C2">
            <w:pPr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Les règles orthographiques et la syntaxe dans les documents professionnels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ind w:left="34"/>
              <w:rPr>
                <w:b/>
              </w:rPr>
            </w:pPr>
            <w:r w:rsidRPr="00EF4E68">
              <w:rPr>
                <w:b/>
              </w:rPr>
              <w:t>LE COMPTE-RENDU DE RÉUNION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prise de notes, les abréviations, les schémas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confrontation de plusieurs prises de notes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La synthèse de documents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Les paroles rapportées, les dialogues, la citation</w:t>
            </w:r>
          </w:p>
          <w:p w:rsidR="00CB2185" w:rsidRPr="00EF4E68" w:rsidRDefault="00CB2185" w:rsidP="00B957C2">
            <w:pPr>
              <w:pStyle w:val="Standard"/>
              <w:widowControl w:val="0"/>
              <w:rPr>
                <w:rFonts w:ascii="Calibri" w:hAnsi="Calibri"/>
                <w:b w:val="0"/>
                <w:sz w:val="20"/>
                <w:szCs w:val="20"/>
              </w:rPr>
            </w:pPr>
            <w:r w:rsidRPr="00EF4E68">
              <w:rPr>
                <w:rFonts w:ascii="Calibri" w:hAnsi="Calibri"/>
                <w:b w:val="0"/>
                <w:sz w:val="20"/>
                <w:szCs w:val="20"/>
              </w:rPr>
              <w:t>• Les modes et temps des verbes : le présent de l’indicatif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B167F7">
        <w:tc>
          <w:tcPr>
            <w:tcW w:w="10774" w:type="dxa"/>
            <w:gridSpan w:val="5"/>
            <w:shd w:val="clear" w:color="auto" w:fill="D9D9D9" w:themeFill="background1" w:themeFillShade="D9"/>
            <w:vAlign w:val="center"/>
          </w:tcPr>
          <w:p w:rsidR="00CB2185" w:rsidRDefault="00CB2185" w:rsidP="00B167F7">
            <w:r w:rsidRPr="00CB2185">
              <w:t>PÔLE 4 – GESTION ADMINISTRATIVE DES PROJETS</w:t>
            </w:r>
          </w:p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pStyle w:val="NormalWeb"/>
              <w:spacing w:after="0"/>
              <w:rPr>
                <w:rFonts w:ascii="Calibri" w:hAnsi="Calibri"/>
                <w:b/>
                <w:sz w:val="22"/>
                <w:szCs w:val="22"/>
              </w:rPr>
            </w:pPr>
            <w:r w:rsidRPr="00EF4E68">
              <w:rPr>
                <w:rFonts w:ascii="Calibri" w:hAnsi="Calibri"/>
                <w:b/>
                <w:sz w:val="22"/>
                <w:szCs w:val="22"/>
              </w:rPr>
              <w:t>LE DESCRIPTIF DU PROJET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NormalWeb"/>
              <w:spacing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 tri et la hiérarchisation des informations, les titres et les sous-titres</w:t>
            </w:r>
          </w:p>
          <w:p w:rsidR="00CB2185" w:rsidRPr="00EF4E68" w:rsidRDefault="00CB2185" w:rsidP="00B957C2">
            <w:pPr>
              <w:pStyle w:val="NormalWeb"/>
              <w:spacing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L’énumération</w:t>
            </w:r>
          </w:p>
          <w:p w:rsidR="00CB2185" w:rsidRPr="00EF4E68" w:rsidRDefault="00CB2185" w:rsidP="00B957C2">
            <w:pPr>
              <w:pStyle w:val="NormalWeb"/>
              <w:spacing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L’expression des objectifs</w:t>
            </w:r>
          </w:p>
          <w:p w:rsidR="00CB2185" w:rsidRPr="00EF4E68" w:rsidRDefault="00CB2185" w:rsidP="00B957C2">
            <w:pPr>
              <w:pStyle w:val="NormalWeb"/>
              <w:spacing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Les repères et les marques du temps</w:t>
            </w:r>
          </w:p>
          <w:p w:rsidR="00CB2185" w:rsidRPr="00EF4E68" w:rsidRDefault="00CB2185" w:rsidP="00B957C2">
            <w:pPr>
              <w:pStyle w:val="NormalWeb"/>
              <w:spacing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Les temps et modes des verbes : le futur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b/>
                <w:sz w:val="22"/>
                <w:szCs w:val="22"/>
              </w:rPr>
            </w:pPr>
            <w:r w:rsidRPr="00EF4E68">
              <w:rPr>
                <w:rFonts w:ascii="Calibri" w:hAnsi="Calibri"/>
                <w:b/>
                <w:sz w:val="22"/>
                <w:szCs w:val="22"/>
              </w:rPr>
              <w:t xml:space="preserve">LE COURRIER DE SOLLICITATION 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 xml:space="preserve">• Le lexique du souhait, de la demande, de l’autorisation 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L’argumentation : la persuasion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 xml:space="preserve">• Les formules d’introduction et de conclusion du courrier 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Les formules de politesse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b/>
                <w:sz w:val="22"/>
                <w:szCs w:val="22"/>
              </w:rPr>
            </w:pPr>
            <w:r w:rsidRPr="00EF4E68">
              <w:rPr>
                <w:rFonts w:ascii="Calibri" w:hAnsi="Calibri"/>
                <w:b/>
                <w:sz w:val="22"/>
                <w:szCs w:val="22"/>
              </w:rPr>
              <w:t>LE RAPPORT D’ÉTAPE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L’objectivité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La structuration du rapport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Les marques de l’énonciateur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Les marques du temps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L’énumération</w:t>
            </w:r>
          </w:p>
          <w:p w:rsidR="00CB2185" w:rsidRPr="00EF4E68" w:rsidRDefault="00CB2185" w:rsidP="00B957C2">
            <w:pPr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La comparaison</w:t>
            </w:r>
          </w:p>
          <w:p w:rsidR="00CB2185" w:rsidRPr="00EF4E68" w:rsidRDefault="00CB2185" w:rsidP="00B957C2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b/>
                <w:sz w:val="22"/>
                <w:szCs w:val="22"/>
              </w:rPr>
            </w:pPr>
            <w:r w:rsidRPr="00EF4E68">
              <w:rPr>
                <w:rFonts w:ascii="Calibri" w:hAnsi="Calibri"/>
                <w:b/>
                <w:sz w:val="22"/>
                <w:szCs w:val="22"/>
              </w:rPr>
              <w:t>LE COURRIER RAPPORTANT UN DYSFONCTIONNEMENT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 lexique du dysfonctionnement, du constat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Les connecteurs logiques et temporels : antériorité, postériorité, simultanéité, causalité, conséquence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Les temps et modes des verbes : passé composé, plus que parfait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b/>
                <w:sz w:val="22"/>
                <w:szCs w:val="22"/>
              </w:rPr>
            </w:pPr>
            <w:r w:rsidRPr="00EF4E68">
              <w:rPr>
                <w:rFonts w:ascii="Calibri" w:hAnsi="Calibri"/>
                <w:b/>
                <w:sz w:val="22"/>
                <w:szCs w:val="22"/>
              </w:rPr>
              <w:t>LE DOCUMENT DE SYNTHÈSE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La formulation impersonnelle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La concision, la reformulation, la précision lexicale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Les notes et les renvois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L’objectivité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La prise en compte de plusieurs points de vue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 lexique métier</w:t>
            </w:r>
          </w:p>
          <w:p w:rsidR="00CB2185" w:rsidRPr="00EF4E68" w:rsidRDefault="00CB2185" w:rsidP="00B957C2">
            <w:pPr>
              <w:rPr>
                <w:sz w:val="20"/>
                <w:szCs w:val="20"/>
              </w:rPr>
            </w:pPr>
            <w:r w:rsidRPr="00EF4E68">
              <w:rPr>
                <w:sz w:val="20"/>
                <w:szCs w:val="20"/>
              </w:rPr>
              <w:t>• La typographie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  <w:tr w:rsidR="00CB2185" w:rsidTr="00DA0FB1">
        <w:tc>
          <w:tcPr>
            <w:tcW w:w="2670" w:type="dxa"/>
            <w:vAlign w:val="center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b/>
                <w:sz w:val="22"/>
                <w:szCs w:val="22"/>
              </w:rPr>
            </w:pPr>
            <w:r w:rsidRPr="00EF4E68">
              <w:rPr>
                <w:rFonts w:ascii="Calibri" w:hAnsi="Calibri"/>
                <w:b/>
                <w:sz w:val="22"/>
                <w:szCs w:val="22"/>
              </w:rPr>
              <w:t xml:space="preserve">LE DIAGNOSTIC </w:t>
            </w:r>
          </w:p>
        </w:tc>
        <w:tc>
          <w:tcPr>
            <w:tcW w:w="5269" w:type="dxa"/>
          </w:tcPr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L’argumentation 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 lexique de l’évaluation quantitative, de l’appréciation, de la proposition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La comparaison et la confrontation</w:t>
            </w:r>
          </w:p>
          <w:p w:rsidR="00CB2185" w:rsidRPr="00EF4E68" w:rsidRDefault="00CB2185" w:rsidP="00B957C2">
            <w:pPr>
              <w:pStyle w:val="NormalWeb"/>
              <w:spacing w:before="2" w:after="0"/>
              <w:rPr>
                <w:rFonts w:ascii="Calibri" w:hAnsi="Calibri"/>
                <w:sz w:val="20"/>
                <w:szCs w:val="20"/>
              </w:rPr>
            </w:pPr>
            <w:r w:rsidRPr="00EF4E68">
              <w:rPr>
                <w:rFonts w:ascii="Calibri" w:hAnsi="Calibri"/>
                <w:sz w:val="20"/>
                <w:szCs w:val="20"/>
              </w:rPr>
              <w:t>• Le lexique métier</w:t>
            </w:r>
          </w:p>
        </w:tc>
        <w:tc>
          <w:tcPr>
            <w:tcW w:w="992" w:type="dxa"/>
          </w:tcPr>
          <w:p w:rsidR="00CB2185" w:rsidRDefault="00CB2185"/>
        </w:tc>
        <w:tc>
          <w:tcPr>
            <w:tcW w:w="993" w:type="dxa"/>
          </w:tcPr>
          <w:p w:rsidR="00CB2185" w:rsidRDefault="00CB2185"/>
        </w:tc>
        <w:tc>
          <w:tcPr>
            <w:tcW w:w="850" w:type="dxa"/>
          </w:tcPr>
          <w:p w:rsidR="00CB2185" w:rsidRDefault="00CB2185"/>
        </w:tc>
      </w:tr>
    </w:tbl>
    <w:p w:rsidR="00CB2185" w:rsidRDefault="00CB2185"/>
    <w:sectPr w:rsidR="00CB2185" w:rsidSect="00DA0FB1">
      <w:pgSz w:w="11906" w:h="16838"/>
      <w:pgMar w:top="709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savePreviewPicture/>
  <w:compat/>
  <w:rsids>
    <w:rsidRoot w:val="00CB2185"/>
    <w:rsid w:val="00497237"/>
    <w:rsid w:val="004E4192"/>
    <w:rsid w:val="00565BD3"/>
    <w:rsid w:val="007A493A"/>
    <w:rsid w:val="00A27260"/>
    <w:rsid w:val="00B167F7"/>
    <w:rsid w:val="00C92553"/>
    <w:rsid w:val="00CB2185"/>
    <w:rsid w:val="00D17E1A"/>
    <w:rsid w:val="00DA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1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2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CB2185"/>
    <w:pPr>
      <w:suppressAutoHyphens/>
      <w:autoSpaceDN w:val="0"/>
      <w:textAlignment w:val="baseline"/>
    </w:pPr>
    <w:rPr>
      <w:rFonts w:ascii="Arial Narrow" w:eastAsia="Times New Roman" w:hAnsi="Arial Narrow" w:cs="Mangal"/>
      <w:b/>
      <w:kern w:val="3"/>
      <w:sz w:val="24"/>
      <w:szCs w:val="24"/>
      <w:lang w:bidi="hi-IN"/>
    </w:rPr>
  </w:style>
  <w:style w:type="paragraph" w:styleId="NormalWeb">
    <w:name w:val="Normal (Web)"/>
    <w:basedOn w:val="Normal"/>
    <w:uiPriority w:val="99"/>
    <w:rsid w:val="00CB2185"/>
    <w:pPr>
      <w:spacing w:after="89"/>
    </w:pPr>
    <w:rPr>
      <w:rFonts w:ascii="Arial Unicode MS" w:eastAsia="Arial Unicode MS" w:hAnsi="Times New Roman" w:cs="Arial Unicode MS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2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CB2185"/>
    <w:pPr>
      <w:suppressAutoHyphens/>
      <w:autoSpaceDN w:val="0"/>
      <w:textAlignment w:val="baseline"/>
    </w:pPr>
    <w:rPr>
      <w:rFonts w:ascii="Arial Narrow" w:eastAsia="Times New Roman" w:hAnsi="Arial Narrow" w:cs="Mangal"/>
      <w:b/>
      <w:kern w:val="3"/>
      <w:sz w:val="24"/>
      <w:szCs w:val="24"/>
      <w:lang w:bidi="hi-IN"/>
    </w:rPr>
  </w:style>
  <w:style w:type="paragraph" w:styleId="NormalWeb">
    <w:name w:val="Normal (Web)"/>
    <w:basedOn w:val="Normal"/>
    <w:uiPriority w:val="99"/>
    <w:rsid w:val="00CB2185"/>
    <w:pPr>
      <w:spacing w:after="89"/>
    </w:pPr>
    <w:rPr>
      <w:rFonts w:ascii="Arial Unicode MS" w:eastAsia="Arial Unicode MS" w:hAnsi="Times New Roman" w:cs="Arial Unicode MS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</dc:creator>
  <cp:lastModifiedBy>Marc Pacquetet</cp:lastModifiedBy>
  <cp:revision>2</cp:revision>
  <dcterms:created xsi:type="dcterms:W3CDTF">2015-10-22T14:13:00Z</dcterms:created>
  <dcterms:modified xsi:type="dcterms:W3CDTF">2015-10-22T14:13:00Z</dcterms:modified>
</cp:coreProperties>
</file>